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CA3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Способы гашения дуги. Воздействие на столб электрической дуги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Способы гашения дуги. Перемещение дуги под воздействием магнитного поля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 xml:space="preserve">Способы гашения дуги. Гашение дуги с помощью </w:t>
      </w:r>
      <w:proofErr w:type="spellStart"/>
      <w:r w:rsidRPr="00EC28A9">
        <w:rPr>
          <w:rFonts w:ascii="Times New Roman" w:hAnsi="Times New Roman" w:cs="Times New Roman"/>
          <w:sz w:val="28"/>
          <w:szCs w:val="28"/>
        </w:rPr>
        <w:t>дугогасительной</w:t>
      </w:r>
      <w:proofErr w:type="spellEnd"/>
      <w:r w:rsidRPr="00EC28A9">
        <w:rPr>
          <w:rFonts w:ascii="Times New Roman" w:hAnsi="Times New Roman" w:cs="Times New Roman"/>
          <w:sz w:val="28"/>
          <w:szCs w:val="28"/>
        </w:rPr>
        <w:t xml:space="preserve"> решетки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Способы гашения дуги. Гашение дуги высоким давлением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Способы гашения дуги. Гашение дуги в потоке сжатого воздуха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Способы гашения дуги. Гашение дуги в трансформаторном масле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Способы гашения дуги. Гашение дуги в вакуумной среде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Способы гашения дуги. Гашение дуги с полупроводниковых приборов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 xml:space="preserve">Способы гашения дуги. </w:t>
      </w:r>
      <w:proofErr w:type="spellStart"/>
      <w:r w:rsidRPr="00EC28A9">
        <w:rPr>
          <w:rFonts w:ascii="Times New Roman" w:hAnsi="Times New Roman" w:cs="Times New Roman"/>
          <w:sz w:val="28"/>
          <w:szCs w:val="28"/>
        </w:rPr>
        <w:t>Бездуговая</w:t>
      </w:r>
      <w:proofErr w:type="spellEnd"/>
      <w:r w:rsidRPr="00EC28A9">
        <w:rPr>
          <w:rFonts w:ascii="Times New Roman" w:hAnsi="Times New Roman" w:cs="Times New Roman"/>
          <w:sz w:val="28"/>
          <w:szCs w:val="28"/>
        </w:rPr>
        <w:t xml:space="preserve"> коммутация электрических цепей</w:t>
      </w:r>
    </w:p>
    <w:p w:rsidR="00F57DCA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Контроллеры. Барабанные контроллеры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Контроллеры. Кулачковые контроллеры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28A9">
        <w:rPr>
          <w:rFonts w:ascii="Times New Roman" w:hAnsi="Times New Roman" w:cs="Times New Roman"/>
          <w:sz w:val="28"/>
          <w:szCs w:val="28"/>
        </w:rPr>
        <w:t>Командоаппараты</w:t>
      </w:r>
      <w:proofErr w:type="spellEnd"/>
      <w:r w:rsidRPr="00EC28A9">
        <w:rPr>
          <w:rFonts w:ascii="Times New Roman" w:hAnsi="Times New Roman" w:cs="Times New Roman"/>
          <w:sz w:val="28"/>
          <w:szCs w:val="28"/>
        </w:rPr>
        <w:t>. Кнопки управления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28A9">
        <w:rPr>
          <w:rFonts w:ascii="Times New Roman" w:hAnsi="Times New Roman" w:cs="Times New Roman"/>
          <w:sz w:val="28"/>
          <w:szCs w:val="28"/>
        </w:rPr>
        <w:t>Командоаппараты</w:t>
      </w:r>
      <w:proofErr w:type="spellEnd"/>
      <w:r w:rsidRPr="00EC28A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C28A9">
        <w:rPr>
          <w:rFonts w:ascii="Times New Roman" w:hAnsi="Times New Roman" w:cs="Times New Roman"/>
          <w:sz w:val="28"/>
          <w:szCs w:val="28"/>
        </w:rPr>
        <w:t>Командоконтроллеры</w:t>
      </w:r>
      <w:proofErr w:type="spellEnd"/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28A9">
        <w:rPr>
          <w:rFonts w:ascii="Times New Roman" w:hAnsi="Times New Roman" w:cs="Times New Roman"/>
          <w:sz w:val="28"/>
          <w:szCs w:val="28"/>
        </w:rPr>
        <w:t>Командоаппараты</w:t>
      </w:r>
      <w:proofErr w:type="spellEnd"/>
      <w:r w:rsidRPr="00EC28A9">
        <w:rPr>
          <w:rFonts w:ascii="Times New Roman" w:hAnsi="Times New Roman" w:cs="Times New Roman"/>
          <w:sz w:val="28"/>
          <w:szCs w:val="28"/>
        </w:rPr>
        <w:t xml:space="preserve">. Путевые выключатели и </w:t>
      </w:r>
      <w:proofErr w:type="spellStart"/>
      <w:r w:rsidRPr="00EC28A9">
        <w:rPr>
          <w:rFonts w:ascii="Times New Roman" w:hAnsi="Times New Roman" w:cs="Times New Roman"/>
          <w:sz w:val="28"/>
          <w:szCs w:val="28"/>
        </w:rPr>
        <w:t>микровыключатели</w:t>
      </w:r>
      <w:proofErr w:type="spellEnd"/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28A9">
        <w:rPr>
          <w:rFonts w:ascii="Times New Roman" w:hAnsi="Times New Roman" w:cs="Times New Roman"/>
          <w:sz w:val="28"/>
          <w:szCs w:val="28"/>
        </w:rPr>
        <w:t>Командоаппараты</w:t>
      </w:r>
      <w:proofErr w:type="spellEnd"/>
      <w:r w:rsidRPr="00EC28A9">
        <w:rPr>
          <w:rFonts w:ascii="Times New Roman" w:hAnsi="Times New Roman" w:cs="Times New Roman"/>
          <w:sz w:val="28"/>
          <w:szCs w:val="28"/>
        </w:rPr>
        <w:t xml:space="preserve">. Путевой выключатель на </w:t>
      </w:r>
      <w:proofErr w:type="spellStart"/>
      <w:r w:rsidRPr="00EC28A9">
        <w:rPr>
          <w:rFonts w:ascii="Times New Roman" w:hAnsi="Times New Roman" w:cs="Times New Roman"/>
          <w:sz w:val="28"/>
          <w:szCs w:val="28"/>
        </w:rPr>
        <w:t>оптотронных</w:t>
      </w:r>
      <w:proofErr w:type="spellEnd"/>
      <w:r w:rsidRPr="00EC28A9">
        <w:rPr>
          <w:rFonts w:ascii="Times New Roman" w:hAnsi="Times New Roman" w:cs="Times New Roman"/>
          <w:sz w:val="28"/>
          <w:szCs w:val="28"/>
        </w:rPr>
        <w:t xml:space="preserve"> элементах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28A9">
        <w:rPr>
          <w:rFonts w:ascii="Times New Roman" w:hAnsi="Times New Roman" w:cs="Times New Roman"/>
          <w:sz w:val="28"/>
          <w:szCs w:val="28"/>
        </w:rPr>
        <w:t>Командоаппараты</w:t>
      </w:r>
      <w:proofErr w:type="spellEnd"/>
      <w:r w:rsidRPr="00EC28A9">
        <w:rPr>
          <w:rFonts w:ascii="Times New Roman" w:hAnsi="Times New Roman" w:cs="Times New Roman"/>
          <w:sz w:val="28"/>
          <w:szCs w:val="28"/>
        </w:rPr>
        <w:t>. Универсальные переключатели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28A9">
        <w:rPr>
          <w:rFonts w:ascii="Times New Roman" w:hAnsi="Times New Roman" w:cs="Times New Roman"/>
          <w:sz w:val="28"/>
          <w:szCs w:val="28"/>
        </w:rPr>
        <w:t>Командоаппараты</w:t>
      </w:r>
      <w:proofErr w:type="spellEnd"/>
      <w:r w:rsidRPr="00EC28A9">
        <w:rPr>
          <w:rFonts w:ascii="Times New Roman" w:hAnsi="Times New Roman" w:cs="Times New Roman"/>
          <w:sz w:val="28"/>
          <w:szCs w:val="28"/>
        </w:rPr>
        <w:t>. Ключи управления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Резисторы. Материалы резисторов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Конструкция резисторов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Выбор резисторов и схемы их соединения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Реостаты. Классификация реостатов и требования к ним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57DCA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Конструкция реостатов с естественным воздушным охлаждением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57DCA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lastRenderedPageBreak/>
        <w:t>Контакторы. Категории контакторов. Основные параметры контакторов</w:t>
      </w:r>
    </w:p>
    <w:p w:rsidR="00F57DCA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Контакторы постоянного тока  серии КПВ-600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Контакторы переменного тока серии КТ-6000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Контакторы переменного тока серии МК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Контакторы переменного тока. Вакуумные контакторы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Магнитные пускатели. Основные требования и условия работы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Магнитные пускатели. Конструкция и схема включения на примере серии ПМЛ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28A9">
        <w:rPr>
          <w:rFonts w:ascii="Times New Roman" w:hAnsi="Times New Roman" w:cs="Times New Roman"/>
          <w:sz w:val="28"/>
          <w:szCs w:val="28"/>
        </w:rPr>
        <w:t>Тиристорный</w:t>
      </w:r>
      <w:proofErr w:type="spellEnd"/>
      <w:r w:rsidRPr="00EC28A9">
        <w:rPr>
          <w:rFonts w:ascii="Times New Roman" w:hAnsi="Times New Roman" w:cs="Times New Roman"/>
          <w:sz w:val="28"/>
          <w:szCs w:val="28"/>
        </w:rPr>
        <w:t xml:space="preserve"> пускатель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C28A9">
        <w:rPr>
          <w:rFonts w:ascii="Times New Roman" w:hAnsi="Times New Roman" w:cs="Times New Roman"/>
          <w:sz w:val="28"/>
          <w:szCs w:val="28"/>
        </w:rPr>
        <w:t>Выбор контакторов и пускателей</w:t>
      </w:r>
    </w:p>
    <w:sectPr w:rsidR="00EC28A9" w:rsidRPr="00EC28A9" w:rsidSect="001E2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57DCA"/>
    <w:rsid w:val="001E2CA3"/>
    <w:rsid w:val="00EC28A9"/>
    <w:rsid w:val="00F47B30"/>
    <w:rsid w:val="00F57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C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2019-12-03T15:59:00Z</dcterms:created>
  <dcterms:modified xsi:type="dcterms:W3CDTF">2019-12-03T16:40:00Z</dcterms:modified>
</cp:coreProperties>
</file>